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2E" w:rsidRPr="00C72E77" w:rsidRDefault="00625A2E" w:rsidP="00625A2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:rsidR="00625A2E" w:rsidRPr="00C72E77" w:rsidRDefault="00625A2E" w:rsidP="00625A2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Дополнительное образование</w:t>
      </w:r>
    </w:p>
    <w:p w:rsidR="00625A2E" w:rsidRDefault="00625A2E" w:rsidP="00625A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Подростковый центр «</w:t>
      </w:r>
      <w:proofErr w:type="spellStart"/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Челээш</w:t>
      </w:r>
      <w:proofErr w:type="spellEnd"/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» с. Бай-Хаак</w:t>
      </w:r>
    </w:p>
    <w:p w:rsidR="00625A2E" w:rsidRDefault="00625A2E" w:rsidP="00625A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668310, Республика Тыва,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Тандинский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кожуун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proofErr w:type="gram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.Б</w:t>
      </w:r>
      <w:proofErr w:type="gram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ай-Хаак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ул.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Горького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>, д.30</w:t>
      </w:r>
    </w:p>
    <w:p w:rsidR="00625A2E" w:rsidRDefault="00625A2E" w:rsidP="00625A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Тел.8(394-37)21173</w:t>
      </w:r>
    </w:p>
    <w:p w:rsidR="00625A2E" w:rsidRPr="00C72E77" w:rsidRDefault="00625A2E" w:rsidP="00625A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E</w:t>
      </w: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cheleeshc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@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mail</w:t>
      </w: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ru</w:t>
      </w:r>
      <w:proofErr w:type="spellEnd"/>
    </w:p>
    <w:p w:rsidR="00625A2E" w:rsidRPr="00C72E77" w:rsidRDefault="00625A2E" w:rsidP="00625A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25A2E" w:rsidRPr="00D111EA" w:rsidRDefault="00625A2E" w:rsidP="00625A2E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FB65EE" w:rsidRDefault="00FB65EE" w:rsidP="00625A2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625A2E" w:rsidRPr="00625A2E" w:rsidRDefault="00625A2E" w:rsidP="00625A2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625A2E">
        <w:rPr>
          <w:rFonts w:ascii="Times New Roman" w:hAnsi="Times New Roman"/>
          <w:b/>
          <w:color w:val="0D0D0D" w:themeColor="text1" w:themeTint="F2"/>
          <w:sz w:val="28"/>
          <w:szCs w:val="28"/>
        </w:rPr>
        <w:t>Описание</w:t>
      </w:r>
      <w:r w:rsidR="00FB65EE" w:rsidRPr="00FB65EE">
        <w:rPr>
          <w:sz w:val="28"/>
          <w:szCs w:val="28"/>
        </w:rPr>
        <w:t xml:space="preserve"> </w:t>
      </w:r>
      <w:r w:rsidR="00FB65EE" w:rsidRPr="00FB65EE">
        <w:rPr>
          <w:rFonts w:ascii="Times New Roman" w:hAnsi="Times New Roman"/>
          <w:b/>
          <w:sz w:val="28"/>
          <w:szCs w:val="28"/>
        </w:rPr>
        <w:t>дополнительных</w:t>
      </w:r>
      <w:r w:rsidR="00FB65EE">
        <w:rPr>
          <w:sz w:val="28"/>
          <w:szCs w:val="28"/>
        </w:rPr>
        <w:t xml:space="preserve"> </w:t>
      </w:r>
      <w:r w:rsidR="00FB65EE" w:rsidRPr="00FB65EE">
        <w:rPr>
          <w:rFonts w:ascii="Times New Roman" w:hAnsi="Times New Roman"/>
          <w:b/>
          <w:sz w:val="28"/>
          <w:szCs w:val="28"/>
        </w:rPr>
        <w:t>общеобразоват</w:t>
      </w:r>
      <w:r w:rsidR="00FB65EE">
        <w:rPr>
          <w:rFonts w:ascii="Times New Roman" w:hAnsi="Times New Roman"/>
          <w:b/>
          <w:sz w:val="28"/>
          <w:szCs w:val="28"/>
        </w:rPr>
        <w:t>ельных</w:t>
      </w:r>
      <w:r w:rsidR="00FB65EE" w:rsidRPr="00FB65EE">
        <w:rPr>
          <w:rFonts w:ascii="Times New Roman" w:hAnsi="Times New Roman"/>
          <w:b/>
          <w:sz w:val="28"/>
          <w:szCs w:val="28"/>
        </w:rPr>
        <w:t xml:space="preserve"> общераз</w:t>
      </w:r>
      <w:r w:rsidR="00FB65EE">
        <w:rPr>
          <w:rFonts w:ascii="Times New Roman" w:hAnsi="Times New Roman"/>
          <w:b/>
          <w:sz w:val="28"/>
          <w:szCs w:val="28"/>
        </w:rPr>
        <w:t xml:space="preserve">вивающих </w:t>
      </w:r>
      <w:r w:rsidRPr="00625A2E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программ </w:t>
      </w:r>
      <w:r w:rsidR="00FB65EE">
        <w:rPr>
          <w:rFonts w:ascii="Times New Roman" w:hAnsi="Times New Roman"/>
          <w:b/>
          <w:color w:val="0D0D0D" w:themeColor="text1" w:themeTint="F2"/>
          <w:sz w:val="28"/>
          <w:szCs w:val="28"/>
        </w:rPr>
        <w:t>МБОУ ДО ПЦ «</w:t>
      </w:r>
      <w:proofErr w:type="spellStart"/>
      <w:r w:rsidR="00FB65EE">
        <w:rPr>
          <w:rFonts w:ascii="Times New Roman" w:hAnsi="Times New Roman"/>
          <w:b/>
          <w:color w:val="0D0D0D" w:themeColor="text1" w:themeTint="F2"/>
          <w:sz w:val="28"/>
          <w:szCs w:val="28"/>
        </w:rPr>
        <w:t>Челээш</w:t>
      </w:r>
      <w:proofErr w:type="spellEnd"/>
      <w:r w:rsidR="00FB65EE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» </w:t>
      </w:r>
    </w:p>
    <w:p w:rsidR="00625A2E" w:rsidRDefault="00625A2E" w:rsidP="00625A2E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25A2E" w:rsidRDefault="00625A2E" w:rsidP="00625A2E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25A2E" w:rsidRPr="005D1E57" w:rsidRDefault="00625A2E" w:rsidP="00625A2E">
      <w:pPr>
        <w:spacing w:line="276" w:lineRule="auto"/>
        <w:jc w:val="both"/>
        <w:rPr>
          <w:sz w:val="20"/>
          <w:szCs w:val="20"/>
        </w:rPr>
      </w:pP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5D1E57">
        <w:rPr>
          <w:sz w:val="20"/>
          <w:szCs w:val="20"/>
        </w:rPr>
        <w:t xml:space="preserve">  </w:t>
      </w:r>
      <w:r w:rsidRPr="005D1E57">
        <w:rPr>
          <w:sz w:val="20"/>
          <w:szCs w:val="20"/>
        </w:rPr>
        <w:tab/>
      </w:r>
      <w:r>
        <w:rPr>
          <w:sz w:val="28"/>
          <w:szCs w:val="28"/>
        </w:rPr>
        <w:t>Дополнительные общеобразовательные</w:t>
      </w:r>
      <w:r w:rsidRPr="00625A2E">
        <w:rPr>
          <w:sz w:val="28"/>
          <w:szCs w:val="28"/>
        </w:rPr>
        <w:t xml:space="preserve"> общераз</w:t>
      </w:r>
      <w:r>
        <w:rPr>
          <w:sz w:val="28"/>
          <w:szCs w:val="28"/>
        </w:rPr>
        <w:t>вивающие программы  представляю</w:t>
      </w:r>
      <w:r w:rsidRPr="00625A2E">
        <w:rPr>
          <w:sz w:val="28"/>
          <w:szCs w:val="28"/>
        </w:rPr>
        <w:t>т собой внутренний</w:t>
      </w:r>
      <w:r>
        <w:rPr>
          <w:sz w:val="28"/>
          <w:szCs w:val="28"/>
        </w:rPr>
        <w:t xml:space="preserve"> нормативный документ, </w:t>
      </w:r>
      <w:r w:rsidR="00FB65EE">
        <w:rPr>
          <w:sz w:val="28"/>
          <w:szCs w:val="28"/>
        </w:rPr>
        <w:t>разработаны</w:t>
      </w:r>
      <w:r w:rsidRPr="00625A2E">
        <w:rPr>
          <w:sz w:val="28"/>
          <w:szCs w:val="28"/>
        </w:rPr>
        <w:t xml:space="preserve"> в соответствии с нормативными правовыми документами: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 Федеральным законом «Об образовании в Российской Федерации» № 273-ФЗ от 29.12.2012 (с изменениями, внесенными Федеральным законом от 31.07.2012 №304-ФЗ «О внесении изменений в Федеральный закон «Об образовании в Российской Федерации» по вопросам воспитания обучающихся», ст. и</w:t>
      </w:r>
      <w:proofErr w:type="gramStart"/>
      <w:r w:rsidRPr="00625A2E">
        <w:rPr>
          <w:sz w:val="28"/>
          <w:szCs w:val="28"/>
        </w:rPr>
        <w:t>2</w:t>
      </w:r>
      <w:proofErr w:type="gramEnd"/>
      <w:r w:rsidRPr="00625A2E">
        <w:rPr>
          <w:sz w:val="28"/>
          <w:szCs w:val="28"/>
        </w:rPr>
        <w:t xml:space="preserve"> п.9; с изменениями, вступает в силу 25.07.2022г. 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 xml:space="preserve">- Приказ Министерства просвещения Российской Федерации от 03.09.2019 №467 «Об утверждении целевой </w:t>
      </w:r>
      <w:proofErr w:type="gramStart"/>
      <w:r w:rsidRPr="00625A2E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625A2E">
        <w:rPr>
          <w:sz w:val="28"/>
          <w:szCs w:val="28"/>
        </w:rPr>
        <w:t>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-Концепция развития дополнительного образования детей до 2030 года (</w:t>
      </w:r>
      <w:proofErr w:type="gramStart"/>
      <w:r w:rsidRPr="00625A2E">
        <w:rPr>
          <w:sz w:val="28"/>
          <w:szCs w:val="28"/>
        </w:rPr>
        <w:t>утвержденный</w:t>
      </w:r>
      <w:proofErr w:type="gramEnd"/>
      <w:r w:rsidRPr="00625A2E">
        <w:rPr>
          <w:sz w:val="28"/>
          <w:szCs w:val="28"/>
        </w:rPr>
        <w:t xml:space="preserve"> Распоряжением Правительства Российской Федерации от 31.03.2022 №678-р);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-Приказ Министерства просвещений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 Постановление главного государственного санитарного врача Российской Федерации от 28.09.2020 №28 «Об утверждении санитарных правил СП 2.4.364820  «Санитарно-эпидемиологические требования к организациям воспитания и обучения, отдыха и оздоровления детей и молодежи»;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proofErr w:type="gramStart"/>
      <w:r w:rsidRPr="00625A2E">
        <w:rPr>
          <w:sz w:val="28"/>
          <w:szCs w:val="28"/>
        </w:rPr>
        <w:t xml:space="preserve">-Постановление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 w:rsidRPr="00625A2E">
        <w:rPr>
          <w:sz w:val="28"/>
          <w:szCs w:val="28"/>
        </w:rPr>
        <w:t>СанПин</w:t>
      </w:r>
      <w:proofErr w:type="spellEnd"/>
      <w:r w:rsidRPr="00625A2E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отдыха и оздоровления детей и молодежи»);</w:t>
      </w:r>
      <w:proofErr w:type="gramEnd"/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lastRenderedPageBreak/>
        <w:t>- Паспорт Федерального проекта «Успех каждого ребенка»  (утвержден на заседании проектного комитета по национальному проекту «Образования» 07.12.2018г., протокол №3);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 Приказом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 Приказ Министерства труда и социальной защиты Российской Федерации от 22.09.2021 №652-н «Об утверждении Порядка применения профессионального стандарта «Педагог дополнительного образования детей и взрослых»;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 xml:space="preserve">- Приказ Министерства просвещения РФ от 13.03.2019 №114 «Об утверждении показателей, характеризующих общие критерии </w:t>
      </w:r>
      <w:proofErr w:type="gramStart"/>
      <w:r w:rsidRPr="00625A2E">
        <w:rPr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25A2E">
        <w:rPr>
          <w:sz w:val="28"/>
          <w:szCs w:val="28"/>
        </w:rPr>
        <w:t xml:space="preserve"> организациями, осуществляющими образовательной деятельность по основным общеобразовательным программам, образовательным программа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625A2E" w:rsidRPr="00625A2E" w:rsidRDefault="00625A2E" w:rsidP="00625A2E">
      <w:pPr>
        <w:spacing w:line="276" w:lineRule="auto"/>
        <w:jc w:val="both"/>
        <w:rPr>
          <w:sz w:val="28"/>
          <w:szCs w:val="28"/>
        </w:rPr>
      </w:pPr>
      <w:r w:rsidRPr="00625A2E">
        <w:rPr>
          <w:sz w:val="28"/>
          <w:szCs w:val="28"/>
        </w:rPr>
        <w:t>- 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625A2E" w:rsidRDefault="00625A2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25A2E">
        <w:rPr>
          <w:sz w:val="28"/>
          <w:szCs w:val="28"/>
        </w:rPr>
        <w:t xml:space="preserve">- </w:t>
      </w:r>
      <w:r w:rsidRPr="00625A2E">
        <w:rPr>
          <w:color w:val="000000"/>
          <w:sz w:val="28"/>
          <w:szCs w:val="28"/>
          <w:shd w:val="clear" w:color="auto" w:fill="FFFFFF"/>
        </w:rPr>
        <w:t>Уставом Муниципального бюджетного образовательного учреждения дополнительного образования  Подростковый центр «</w:t>
      </w:r>
      <w:proofErr w:type="spellStart"/>
      <w:r w:rsidRPr="00625A2E">
        <w:rPr>
          <w:color w:val="000000"/>
          <w:sz w:val="28"/>
          <w:szCs w:val="28"/>
          <w:shd w:val="clear" w:color="auto" w:fill="FFFFFF"/>
        </w:rPr>
        <w:t>Челээш</w:t>
      </w:r>
      <w:proofErr w:type="spellEnd"/>
      <w:r w:rsidRPr="00625A2E">
        <w:rPr>
          <w:color w:val="000000"/>
          <w:sz w:val="28"/>
          <w:szCs w:val="28"/>
          <w:shd w:val="clear" w:color="auto" w:fill="FFFFFF"/>
        </w:rPr>
        <w:t>» с. Бай-Хаак (далее – центр).</w:t>
      </w: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МБОУ ДО ПЦ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Челээш</w:t>
      </w:r>
      <w:proofErr w:type="spellEnd"/>
      <w:r>
        <w:rPr>
          <w:color w:val="000000"/>
          <w:sz w:val="28"/>
          <w:szCs w:val="28"/>
          <w:shd w:val="clear" w:color="auto" w:fill="FFFFFF"/>
        </w:rPr>
        <w:t>» реализуются 19 программ.</w:t>
      </w: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B65EE" w:rsidRPr="00625A2E" w:rsidRDefault="00FB65EE" w:rsidP="00625A2E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25A2E" w:rsidRDefault="00625A2E" w:rsidP="00625A2E">
      <w:pPr>
        <w:spacing w:line="276" w:lineRule="auto"/>
        <w:jc w:val="both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FB65EE" w:rsidTr="00FB65EE">
        <w:tc>
          <w:tcPr>
            <w:tcW w:w="1101" w:type="dxa"/>
          </w:tcPr>
          <w:p w:rsidR="00FB65EE" w:rsidRDefault="00FB65EE" w:rsidP="00625A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jc w:val="center"/>
              <w:rPr>
                <w:b/>
                <w:sz w:val="24"/>
                <w:szCs w:val="24"/>
              </w:rPr>
            </w:pPr>
            <w:r w:rsidRPr="00A25144">
              <w:rPr>
                <w:b/>
                <w:sz w:val="24"/>
                <w:szCs w:val="24"/>
              </w:rPr>
              <w:t>Название</w:t>
            </w:r>
          </w:p>
          <w:p w:rsidR="00FB65EE" w:rsidRPr="00A25144" w:rsidRDefault="00FB65EE" w:rsidP="00131A70">
            <w:pPr>
              <w:jc w:val="center"/>
              <w:rPr>
                <w:b/>
                <w:sz w:val="24"/>
                <w:szCs w:val="24"/>
              </w:rPr>
            </w:pPr>
            <w:r w:rsidRPr="00A251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2393" w:type="dxa"/>
          </w:tcPr>
          <w:p w:rsidR="00FB65EE" w:rsidRPr="00A25144" w:rsidRDefault="00FB65EE" w:rsidP="00FB65EE">
            <w:pPr>
              <w:jc w:val="center"/>
              <w:rPr>
                <w:b/>
                <w:sz w:val="24"/>
                <w:szCs w:val="24"/>
              </w:rPr>
            </w:pPr>
            <w:r w:rsidRPr="00A25144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393" w:type="dxa"/>
          </w:tcPr>
          <w:p w:rsidR="00FB65EE" w:rsidRPr="00FB65EE" w:rsidRDefault="00FB65EE" w:rsidP="00FB65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B65EE">
              <w:rPr>
                <w:b/>
                <w:sz w:val="24"/>
                <w:szCs w:val="24"/>
              </w:rPr>
              <w:t>ФИО педагога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«Шьем  сами»</w:t>
            </w:r>
          </w:p>
        </w:tc>
        <w:tc>
          <w:tcPr>
            <w:tcW w:w="2393" w:type="dxa"/>
            <w:vMerge w:val="restart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Оюн</w:t>
            </w:r>
            <w:proofErr w:type="spellEnd"/>
            <w:r w:rsidRPr="00A25144">
              <w:rPr>
                <w:sz w:val="24"/>
                <w:szCs w:val="24"/>
              </w:rPr>
              <w:t xml:space="preserve"> А.Ю.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«Волшебный войлок»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Сартыл</w:t>
            </w:r>
            <w:proofErr w:type="spellEnd"/>
            <w:r w:rsidRPr="00A25144">
              <w:rPr>
                <w:sz w:val="24"/>
                <w:szCs w:val="24"/>
              </w:rPr>
              <w:t xml:space="preserve"> С.С.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«Юный театрал»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Оюн</w:t>
            </w:r>
            <w:proofErr w:type="spellEnd"/>
            <w:r w:rsidRPr="00A25144">
              <w:rPr>
                <w:sz w:val="24"/>
                <w:szCs w:val="24"/>
              </w:rPr>
              <w:t xml:space="preserve"> А.М.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«Резьба по дереву»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Сарыглар</w:t>
            </w:r>
            <w:proofErr w:type="spellEnd"/>
            <w:r w:rsidRPr="00A25144">
              <w:rPr>
                <w:sz w:val="24"/>
                <w:szCs w:val="24"/>
              </w:rPr>
              <w:t xml:space="preserve"> К.О.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«Бумажный мир»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Оюн</w:t>
            </w:r>
            <w:proofErr w:type="spellEnd"/>
            <w:r w:rsidRPr="00A25144">
              <w:rPr>
                <w:sz w:val="24"/>
                <w:szCs w:val="24"/>
              </w:rPr>
              <w:t xml:space="preserve"> Ч.Э.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«Компьютерный дизайн»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Хертек</w:t>
            </w:r>
            <w:proofErr w:type="spellEnd"/>
            <w:r w:rsidRPr="00A25144">
              <w:rPr>
                <w:sz w:val="24"/>
                <w:szCs w:val="24"/>
              </w:rPr>
              <w:t xml:space="preserve"> Х.Ш.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«Робототехника»</w:t>
            </w:r>
          </w:p>
        </w:tc>
        <w:tc>
          <w:tcPr>
            <w:tcW w:w="2393" w:type="dxa"/>
            <w:vMerge w:val="restart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Техническая</w:t>
            </w:r>
          </w:p>
        </w:tc>
        <w:tc>
          <w:tcPr>
            <w:tcW w:w="2393" w:type="dxa"/>
          </w:tcPr>
          <w:p w:rsidR="00FB65EE" w:rsidRPr="00A25144" w:rsidRDefault="00FE4DE6" w:rsidP="00131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Оюн</w:t>
            </w:r>
            <w:proofErr w:type="spellEnd"/>
            <w:r>
              <w:rPr>
                <w:sz w:val="24"/>
                <w:szCs w:val="24"/>
              </w:rPr>
              <w:t xml:space="preserve"> Ч.Е.</w:t>
            </w:r>
            <w:bookmarkStart w:id="0" w:name="_GoBack"/>
            <w:bookmarkEnd w:id="0"/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</w:t>
            </w:r>
            <w:proofErr w:type="spellStart"/>
            <w:r w:rsidRPr="00A25144">
              <w:rPr>
                <w:sz w:val="24"/>
                <w:szCs w:val="24"/>
              </w:rPr>
              <w:t>Авиамоделирование</w:t>
            </w:r>
            <w:proofErr w:type="spellEnd"/>
            <w:r w:rsidRPr="00A25144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Оюн</w:t>
            </w:r>
            <w:proofErr w:type="spellEnd"/>
            <w:r>
              <w:rPr>
                <w:sz w:val="24"/>
                <w:szCs w:val="24"/>
              </w:rPr>
              <w:t xml:space="preserve"> Ч.Е.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</w:t>
            </w:r>
            <w:proofErr w:type="spellStart"/>
            <w:r w:rsidRPr="00A25144">
              <w:rPr>
                <w:sz w:val="24"/>
                <w:szCs w:val="24"/>
              </w:rPr>
              <w:t>Судомоделирование</w:t>
            </w:r>
            <w:proofErr w:type="spellEnd"/>
            <w:r w:rsidRPr="00A25144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Оюн</w:t>
            </w:r>
            <w:proofErr w:type="spellEnd"/>
            <w:r>
              <w:rPr>
                <w:sz w:val="24"/>
                <w:szCs w:val="24"/>
              </w:rPr>
              <w:t xml:space="preserve"> Ч.Е.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«Удивительный мир логики»</w:t>
            </w:r>
          </w:p>
        </w:tc>
        <w:tc>
          <w:tcPr>
            <w:tcW w:w="2393" w:type="dxa"/>
            <w:vMerge w:val="restart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Социально-гуманитарная</w:t>
            </w: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Князева Н.В.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</w:t>
            </w:r>
            <w:proofErr w:type="spellStart"/>
            <w:r w:rsidRPr="00A25144">
              <w:rPr>
                <w:sz w:val="24"/>
                <w:szCs w:val="24"/>
              </w:rPr>
              <w:t>Любознайка</w:t>
            </w:r>
            <w:proofErr w:type="spellEnd"/>
            <w:r w:rsidRPr="00A25144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Оюн</w:t>
            </w:r>
            <w:proofErr w:type="spellEnd"/>
            <w:r w:rsidRPr="00A25144">
              <w:rPr>
                <w:sz w:val="24"/>
                <w:szCs w:val="24"/>
              </w:rPr>
              <w:t xml:space="preserve"> А.В.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«Журналистика и газетное дело»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Оюн</w:t>
            </w:r>
            <w:proofErr w:type="spellEnd"/>
            <w:r w:rsidRPr="00A25144">
              <w:rPr>
                <w:sz w:val="24"/>
                <w:szCs w:val="24"/>
              </w:rPr>
              <w:t xml:space="preserve"> Ч.С.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«Каллиграфия»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Дажисан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«Подрост»</w:t>
            </w:r>
          </w:p>
        </w:tc>
        <w:tc>
          <w:tcPr>
            <w:tcW w:w="2393" w:type="dxa"/>
            <w:vMerge w:val="restart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Естественнонаучная</w:t>
            </w:r>
          </w:p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Монгуш</w:t>
            </w:r>
            <w:proofErr w:type="spellEnd"/>
            <w:r w:rsidRPr="00A25144">
              <w:rPr>
                <w:sz w:val="24"/>
                <w:szCs w:val="24"/>
              </w:rPr>
              <w:t xml:space="preserve"> Ч.Н.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«Природа вокруг нас»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Монгуш</w:t>
            </w:r>
            <w:proofErr w:type="spellEnd"/>
            <w:r w:rsidRPr="00A25144">
              <w:rPr>
                <w:sz w:val="24"/>
                <w:szCs w:val="24"/>
              </w:rPr>
              <w:t xml:space="preserve"> Ч.Н.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«Магия цифр»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Пар М.Д.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«Краеведение»</w:t>
            </w:r>
          </w:p>
        </w:tc>
        <w:tc>
          <w:tcPr>
            <w:tcW w:w="2393" w:type="dxa"/>
            <w:vMerge w:val="restart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Туристско-краеведческая</w:t>
            </w: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Ооржак</w:t>
            </w:r>
            <w:proofErr w:type="spellEnd"/>
            <w:r w:rsidRPr="00A25144">
              <w:rPr>
                <w:sz w:val="24"/>
                <w:szCs w:val="24"/>
              </w:rPr>
              <w:t xml:space="preserve"> А.М.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«Музейное дело</w:t>
            </w:r>
          </w:p>
        </w:tc>
        <w:tc>
          <w:tcPr>
            <w:tcW w:w="2393" w:type="dxa"/>
            <w:vMerge/>
          </w:tcPr>
          <w:p w:rsidR="00FB65EE" w:rsidRDefault="00FB65EE" w:rsidP="00FB65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Иргит</w:t>
            </w:r>
            <w:proofErr w:type="spellEnd"/>
            <w:r w:rsidRPr="00A25144">
              <w:rPr>
                <w:sz w:val="24"/>
                <w:szCs w:val="24"/>
              </w:rPr>
              <w:t xml:space="preserve"> Т.А.</w:t>
            </w:r>
          </w:p>
        </w:tc>
      </w:tr>
      <w:tr w:rsidR="00FB65EE" w:rsidTr="00FB65EE">
        <w:tc>
          <w:tcPr>
            <w:tcW w:w="1101" w:type="dxa"/>
          </w:tcPr>
          <w:p w:rsidR="00FB65EE" w:rsidRPr="00FB65EE" w:rsidRDefault="00FB65EE" w:rsidP="00FB65EE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FB65EE" w:rsidRPr="00A25144" w:rsidRDefault="00FB65EE" w:rsidP="00131A70">
            <w:pPr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«Танцевальная аэробика»</w:t>
            </w:r>
          </w:p>
        </w:tc>
        <w:tc>
          <w:tcPr>
            <w:tcW w:w="2393" w:type="dxa"/>
          </w:tcPr>
          <w:p w:rsidR="00FB65EE" w:rsidRPr="00A25144" w:rsidRDefault="00FB65EE" w:rsidP="00FB65EE">
            <w:pPr>
              <w:jc w:val="center"/>
              <w:rPr>
                <w:sz w:val="24"/>
                <w:szCs w:val="24"/>
              </w:rPr>
            </w:pPr>
            <w:r w:rsidRPr="00A25144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393" w:type="dxa"/>
          </w:tcPr>
          <w:p w:rsidR="00FB65EE" w:rsidRPr="00A25144" w:rsidRDefault="00FB65EE" w:rsidP="00131A70">
            <w:pPr>
              <w:jc w:val="center"/>
              <w:rPr>
                <w:sz w:val="24"/>
                <w:szCs w:val="24"/>
              </w:rPr>
            </w:pPr>
            <w:proofErr w:type="spellStart"/>
            <w:r w:rsidRPr="00A25144">
              <w:rPr>
                <w:sz w:val="24"/>
                <w:szCs w:val="24"/>
              </w:rPr>
              <w:t>Сартыл</w:t>
            </w:r>
            <w:proofErr w:type="spellEnd"/>
            <w:r w:rsidRPr="00A25144">
              <w:rPr>
                <w:sz w:val="24"/>
                <w:szCs w:val="24"/>
              </w:rPr>
              <w:t xml:space="preserve"> С.А.</w:t>
            </w:r>
          </w:p>
        </w:tc>
      </w:tr>
    </w:tbl>
    <w:p w:rsidR="00FB65EE" w:rsidRPr="005D1E57" w:rsidRDefault="00FB65EE" w:rsidP="00625A2E">
      <w:pPr>
        <w:spacing w:line="276" w:lineRule="auto"/>
        <w:jc w:val="both"/>
        <w:rPr>
          <w:sz w:val="20"/>
          <w:szCs w:val="20"/>
        </w:rPr>
      </w:pPr>
    </w:p>
    <w:p w:rsidR="00625A2E" w:rsidRPr="005D1E57" w:rsidRDefault="00625A2E" w:rsidP="00625A2E">
      <w:pPr>
        <w:spacing w:line="276" w:lineRule="auto"/>
        <w:jc w:val="both"/>
        <w:rPr>
          <w:sz w:val="20"/>
          <w:szCs w:val="20"/>
        </w:rPr>
      </w:pPr>
    </w:p>
    <w:p w:rsidR="00383CD4" w:rsidRDefault="00383CD4"/>
    <w:sectPr w:rsidR="0038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77B7A"/>
    <w:multiLevelType w:val="hybridMultilevel"/>
    <w:tmpl w:val="8428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59"/>
    <w:rsid w:val="00383CD4"/>
    <w:rsid w:val="00625A2E"/>
    <w:rsid w:val="009C0259"/>
    <w:rsid w:val="00FB65E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A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A2E"/>
    <w:pPr>
      <w:spacing w:after="0" w:line="240" w:lineRule="auto"/>
    </w:pPr>
    <w:rPr>
      <w:rFonts w:ascii="Calibri" w:eastAsia="SimSun" w:hAnsi="Calibri" w:cs="Times New Roman"/>
    </w:rPr>
  </w:style>
  <w:style w:type="table" w:styleId="a4">
    <w:name w:val="Table Grid"/>
    <w:basedOn w:val="a1"/>
    <w:uiPriority w:val="59"/>
    <w:rsid w:val="00FB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A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A2E"/>
    <w:pPr>
      <w:spacing w:after="0" w:line="240" w:lineRule="auto"/>
    </w:pPr>
    <w:rPr>
      <w:rFonts w:ascii="Calibri" w:eastAsia="SimSun" w:hAnsi="Calibri" w:cs="Times New Roman"/>
    </w:rPr>
  </w:style>
  <w:style w:type="table" w:styleId="a4">
    <w:name w:val="Table Grid"/>
    <w:basedOn w:val="a1"/>
    <w:uiPriority w:val="59"/>
    <w:rsid w:val="00FB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2024-03-21T03:43:00Z</dcterms:created>
  <dcterms:modified xsi:type="dcterms:W3CDTF">2024-03-21T04:05:00Z</dcterms:modified>
</cp:coreProperties>
</file>